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CE01" w14:textId="07F1CC0E" w:rsidR="00514564" w:rsidRDefault="223E5302" w:rsidP="3574ED16">
      <w:pPr>
        <w:widowControl w:val="0"/>
        <w:spacing w:before="50" w:after="0" w:line="240" w:lineRule="auto"/>
        <w:ind w:right="286"/>
        <w:rPr>
          <w:rFonts w:ascii="Calibri" w:eastAsia="Calibri" w:hAnsi="Calibri" w:cs="Calibri"/>
          <w:b/>
          <w:bCs/>
          <w:color w:val="000000" w:themeColor="text1"/>
          <w:sz w:val="40"/>
          <w:szCs w:val="40"/>
        </w:rPr>
      </w:pPr>
      <w:r>
        <w:rPr>
          <w:noProof/>
        </w:rPr>
        <w:drawing>
          <wp:inline distT="0" distB="0" distL="0" distR="0" wp14:anchorId="43977F1E" wp14:editId="4ECD12D4">
            <wp:extent cx="1143000" cy="1143000"/>
            <wp:effectExtent l="0" t="0" r="0" b="0"/>
            <wp:docPr id="247887845" name="Picture 24788784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Pr="3574ED16">
        <w:rPr>
          <w:rFonts w:ascii="Calibri" w:eastAsia="Calibri" w:hAnsi="Calibri" w:cs="Calibri"/>
          <w:b/>
          <w:bCs/>
          <w:color w:val="000000" w:themeColor="text1"/>
          <w:sz w:val="36"/>
          <w:szCs w:val="36"/>
        </w:rPr>
        <w:t xml:space="preserve">   </w:t>
      </w:r>
      <w:r w:rsidR="00366D39">
        <w:tab/>
      </w:r>
      <w:r w:rsidR="00366D39">
        <w:tab/>
      </w:r>
      <w:r w:rsidR="00366D39">
        <w:tab/>
      </w:r>
      <w:r w:rsidR="00366D39">
        <w:tab/>
      </w:r>
      <w:r w:rsidR="00366D39">
        <w:tab/>
      </w:r>
      <w:r w:rsidR="00366D39">
        <w:tab/>
      </w:r>
      <w:r w:rsidR="11A3433E">
        <w:rPr>
          <w:noProof/>
        </w:rPr>
        <w:drawing>
          <wp:inline distT="0" distB="0" distL="0" distR="0" wp14:anchorId="7FE28E6E" wp14:editId="7494D9C0">
            <wp:extent cx="1885950" cy="609600"/>
            <wp:effectExtent l="0" t="0" r="0" b="0"/>
            <wp:docPr id="2090082082" name="Picture 209008208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85950" cy="609600"/>
                    </a:xfrm>
                    <a:prstGeom prst="rect">
                      <a:avLst/>
                    </a:prstGeom>
                  </pic:spPr>
                </pic:pic>
              </a:graphicData>
            </a:graphic>
          </wp:inline>
        </w:drawing>
      </w:r>
    </w:p>
    <w:p w14:paraId="10A63864" w14:textId="76DA8D73" w:rsidR="00514564" w:rsidRDefault="223E5302" w:rsidP="3574ED16">
      <w:pPr>
        <w:widowControl w:val="0"/>
        <w:spacing w:before="50" w:after="0" w:line="240" w:lineRule="auto"/>
        <w:ind w:right="286"/>
        <w:jc w:val="right"/>
        <w:rPr>
          <w:rFonts w:ascii="Calibri" w:eastAsia="Calibri" w:hAnsi="Calibri" w:cs="Calibri"/>
          <w:b/>
          <w:bCs/>
          <w:color w:val="000000" w:themeColor="text1"/>
          <w:sz w:val="40"/>
          <w:szCs w:val="40"/>
        </w:rPr>
      </w:pPr>
      <w:r w:rsidRPr="3574ED16">
        <w:rPr>
          <w:rFonts w:ascii="Calibri" w:eastAsia="Calibri" w:hAnsi="Calibri" w:cs="Calibri"/>
          <w:b/>
          <w:bCs/>
          <w:color w:val="000000" w:themeColor="text1"/>
          <w:sz w:val="36"/>
          <w:szCs w:val="36"/>
        </w:rPr>
        <w:t xml:space="preserve">                                                          </w:t>
      </w:r>
    </w:p>
    <w:p w14:paraId="10907D68" w14:textId="69A8B4DF" w:rsidR="00514564" w:rsidRDefault="223E5302" w:rsidP="069E187B">
      <w:pPr>
        <w:pStyle w:val="Heading1"/>
        <w:widowControl w:val="0"/>
        <w:spacing w:before="50" w:after="0" w:line="240" w:lineRule="auto"/>
        <w:ind w:right="286"/>
        <w:rPr>
          <w:rFonts w:ascii="Calibri" w:eastAsia="Calibri" w:hAnsi="Calibri" w:cs="Calibri"/>
          <w:b/>
          <w:bCs/>
          <w:color w:val="000000" w:themeColor="text1"/>
        </w:rPr>
      </w:pPr>
      <w:r w:rsidRPr="069E187B">
        <w:rPr>
          <w:rFonts w:ascii="Calibri" w:eastAsia="Calibri" w:hAnsi="Calibri" w:cs="Calibri"/>
          <w:b/>
          <w:bCs/>
          <w:color w:val="000000" w:themeColor="text1"/>
        </w:rPr>
        <w:t>Co-production in Cambridgeshire</w:t>
      </w:r>
    </w:p>
    <w:p w14:paraId="50723F7E" w14:textId="76775B76" w:rsidR="00514564" w:rsidRDefault="223E5302" w:rsidP="069E187B">
      <w:pPr>
        <w:shd w:val="clear" w:color="auto" w:fill="FFFFFF" w:themeFill="background1"/>
        <w:spacing w:after="360" w:line="240" w:lineRule="auto"/>
        <w:rPr>
          <w:rFonts w:ascii="Calibri" w:eastAsia="Calibri" w:hAnsi="Calibri" w:cs="Calibri"/>
          <w:color w:val="000000" w:themeColor="text1"/>
        </w:rPr>
      </w:pPr>
      <w:r w:rsidRPr="069E187B">
        <w:rPr>
          <w:rFonts w:ascii="Calibri" w:eastAsia="Calibri" w:hAnsi="Calibri" w:cs="Calibri"/>
          <w:color w:val="000000" w:themeColor="text1"/>
          <w:lang w:val="en-GB"/>
        </w:rPr>
        <w:t>Whilst co-production can apply to any groups working collaboratively in policy development or service delivery, here we are specifically referring to co-production as it relates to Special Educational Needs and Disability. As the commitment to co-production is considered essential to how we work together, then the history of how Cambridgeshire came to commit to work in this way remains vital to understanding and retaining it as we move forward. You can find out more in Appendix 3.</w:t>
      </w:r>
    </w:p>
    <w:p w14:paraId="0E03A395" w14:textId="33B7B759" w:rsidR="00514564" w:rsidRDefault="223E5302" w:rsidP="069E187B">
      <w:pPr>
        <w:widowControl w:val="0"/>
        <w:spacing w:before="2" w:after="0" w:line="240" w:lineRule="auto"/>
        <w:rPr>
          <w:rFonts w:ascii="Calibri" w:eastAsia="Calibri" w:hAnsi="Calibri" w:cs="Calibri"/>
          <w:color w:val="000000" w:themeColor="text1"/>
          <w:sz w:val="32"/>
          <w:szCs w:val="32"/>
        </w:rPr>
      </w:pPr>
      <w:r w:rsidRPr="069E187B">
        <w:rPr>
          <w:rFonts w:ascii="Calibri" w:eastAsia="Calibri" w:hAnsi="Calibri" w:cs="Calibri"/>
          <w:b/>
          <w:bCs/>
          <w:color w:val="000000" w:themeColor="text1"/>
          <w:sz w:val="32"/>
          <w:szCs w:val="32"/>
        </w:rPr>
        <w:t>Co-production in Cambridgeshire: what underpins how we work today</w:t>
      </w:r>
    </w:p>
    <w:p w14:paraId="0888442E" w14:textId="681DC65B" w:rsidR="00514564" w:rsidRDefault="223E5302" w:rsidP="069E187B">
      <w:pPr>
        <w:widowControl w:val="0"/>
        <w:spacing w:before="2" w:after="0" w:line="240" w:lineRule="auto"/>
        <w:rPr>
          <w:rFonts w:ascii="Calibri" w:eastAsia="Calibri" w:hAnsi="Calibri" w:cs="Calibri"/>
          <w:color w:val="000000" w:themeColor="text1"/>
          <w:sz w:val="28"/>
          <w:szCs w:val="28"/>
        </w:rPr>
      </w:pPr>
      <w:r w:rsidRPr="069E187B">
        <w:rPr>
          <w:rFonts w:ascii="Calibri" w:eastAsia="Calibri" w:hAnsi="Calibri" w:cs="Calibri"/>
          <w:b/>
          <w:bCs/>
          <w:color w:val="000000" w:themeColor="text1"/>
          <w:sz w:val="28"/>
          <w:szCs w:val="28"/>
        </w:rPr>
        <w:t>Co-production as opposed to consultation in parent-carer participation.</w:t>
      </w:r>
    </w:p>
    <w:p w14:paraId="07AE9C7B" w14:textId="1D63C88E" w:rsidR="00514564" w:rsidRDefault="00514564" w:rsidP="069E187B">
      <w:pPr>
        <w:widowControl w:val="0"/>
        <w:spacing w:before="2" w:after="0" w:line="240" w:lineRule="auto"/>
        <w:rPr>
          <w:rFonts w:ascii="Calibri" w:eastAsia="Calibri" w:hAnsi="Calibri" w:cs="Calibri"/>
          <w:color w:val="000000" w:themeColor="text1"/>
          <w:sz w:val="28"/>
          <w:szCs w:val="28"/>
        </w:rPr>
      </w:pPr>
    </w:p>
    <w:p w14:paraId="5B8FAF93" w14:textId="6BDA4A3D" w:rsidR="00514564" w:rsidRDefault="223E5302" w:rsidP="069E187B">
      <w:pPr>
        <w:widowControl w:val="0"/>
        <w:spacing w:before="2" w:after="0" w:line="240" w:lineRule="auto"/>
        <w:rPr>
          <w:rFonts w:ascii="Calibri" w:eastAsia="Calibri" w:hAnsi="Calibri" w:cs="Calibri"/>
          <w:color w:val="000000" w:themeColor="text1"/>
          <w:sz w:val="28"/>
          <w:szCs w:val="28"/>
        </w:rPr>
      </w:pPr>
      <w:r>
        <w:rPr>
          <w:noProof/>
        </w:rPr>
        <w:drawing>
          <wp:inline distT="0" distB="0" distL="0" distR="0" wp14:anchorId="5AE43B7B" wp14:editId="5652A6F0">
            <wp:extent cx="1905000" cy="2000250"/>
            <wp:effectExtent l="0" t="0" r="0" b="0"/>
            <wp:docPr id="256891751" name="Picture 2568917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05000" cy="2000250"/>
                    </a:xfrm>
                    <a:prstGeom prst="rect">
                      <a:avLst/>
                    </a:prstGeom>
                  </pic:spPr>
                </pic:pic>
              </a:graphicData>
            </a:graphic>
          </wp:inline>
        </w:drawing>
      </w:r>
    </w:p>
    <w:p w14:paraId="338BAC10" w14:textId="795B871F" w:rsidR="00514564" w:rsidRDefault="00514564" w:rsidP="069E187B">
      <w:pPr>
        <w:widowControl w:val="0"/>
        <w:spacing w:before="2" w:after="0" w:line="240" w:lineRule="auto"/>
        <w:rPr>
          <w:rFonts w:ascii="Calibri" w:eastAsia="Calibri" w:hAnsi="Calibri" w:cs="Calibri"/>
          <w:color w:val="000000" w:themeColor="text1"/>
          <w:sz w:val="28"/>
          <w:szCs w:val="28"/>
        </w:rPr>
      </w:pPr>
    </w:p>
    <w:p w14:paraId="75CFCCD4" w14:textId="07610B2C" w:rsidR="00514564" w:rsidRDefault="00514564" w:rsidP="069E187B">
      <w:pPr>
        <w:widowControl w:val="0"/>
        <w:spacing w:before="2" w:after="0" w:line="240" w:lineRule="auto"/>
        <w:rPr>
          <w:rFonts w:ascii="Calibri" w:eastAsia="Calibri" w:hAnsi="Calibri" w:cs="Calibri"/>
          <w:color w:val="000000" w:themeColor="text1"/>
        </w:rPr>
      </w:pPr>
    </w:p>
    <w:p w14:paraId="0D5F2558" w14:textId="172409D3" w:rsidR="00514564" w:rsidRDefault="223E5302" w:rsidP="069E187B">
      <w:pPr>
        <w:spacing w:line="259" w:lineRule="auto"/>
        <w:rPr>
          <w:rFonts w:ascii="Calibri" w:eastAsia="Calibri" w:hAnsi="Calibri" w:cs="Calibri"/>
          <w:color w:val="000000" w:themeColor="text1"/>
        </w:rPr>
      </w:pPr>
      <w:r w:rsidRPr="069E187B">
        <w:rPr>
          <w:rFonts w:ascii="Calibri" w:eastAsia="Calibri" w:hAnsi="Calibri" w:cs="Calibri"/>
          <w:color w:val="000000" w:themeColor="text1"/>
          <w:lang w:val="en-GB"/>
        </w:rPr>
        <w:t xml:space="preserve">The Co-production Ladder sets out a hierarchy around participation. There are several definitions offered to explain the differences, but the definition below is helpful. </w:t>
      </w:r>
    </w:p>
    <w:p w14:paraId="2E3116EB" w14:textId="628E09E5" w:rsidR="00514564" w:rsidRDefault="223E5302" w:rsidP="069E187B">
      <w:pPr>
        <w:pBdr>
          <w:top w:val="single" w:sz="4" w:space="1" w:color="auto"/>
          <w:left w:val="single" w:sz="4" w:space="4" w:color="auto"/>
          <w:bottom w:val="single" w:sz="4" w:space="1" w:color="auto"/>
          <w:right w:val="single" w:sz="4" w:space="4" w:color="auto"/>
        </w:pBdr>
        <w:shd w:val="clear" w:color="auto" w:fill="FFFFFF" w:themeFill="background1"/>
        <w:spacing w:beforeAutospacing="1" w:after="0" w:afterAutospacing="1" w:line="240" w:lineRule="auto"/>
        <w:rPr>
          <w:rFonts w:ascii="Calibri" w:eastAsia="Calibri" w:hAnsi="Calibri" w:cs="Calibri"/>
          <w:color w:val="000000" w:themeColor="text1"/>
        </w:rPr>
      </w:pPr>
      <w:r w:rsidRPr="069E187B">
        <w:rPr>
          <w:rFonts w:ascii="Calibri" w:eastAsia="Calibri" w:hAnsi="Calibri" w:cs="Calibri"/>
          <w:b/>
          <w:bCs/>
          <w:i/>
          <w:iCs/>
          <w:color w:val="000000" w:themeColor="text1"/>
          <w:lang w:val="en-GB"/>
        </w:rPr>
        <w:t>Consultation</w:t>
      </w:r>
      <w:r w:rsidRPr="069E187B">
        <w:rPr>
          <w:rFonts w:ascii="Calibri" w:eastAsia="Calibri" w:hAnsi="Calibri" w:cs="Calibri"/>
          <w:i/>
          <w:iCs/>
          <w:color w:val="000000" w:themeColor="text1"/>
          <w:lang w:val="en-GB"/>
        </w:rPr>
        <w:t xml:space="preserve"> relies on an exchange of information, where the decision-making person or group engages in an exploration of ideas that takes advantage of dialogue, questions, and feedback. </w:t>
      </w:r>
      <w:r w:rsidRPr="069E187B">
        <w:rPr>
          <w:rFonts w:ascii="Calibri" w:eastAsia="Calibri" w:hAnsi="Calibri" w:cs="Calibri"/>
          <w:b/>
          <w:bCs/>
          <w:i/>
          <w:iCs/>
          <w:color w:val="000000" w:themeColor="text1"/>
          <w:lang w:val="en-GB"/>
        </w:rPr>
        <w:t xml:space="preserve">In consultation, the decision-makers and the contributors work together </w:t>
      </w:r>
      <w:r w:rsidRPr="069E187B">
        <w:rPr>
          <w:rFonts w:ascii="Calibri" w:eastAsia="Calibri" w:hAnsi="Calibri" w:cs="Calibri"/>
          <w:i/>
          <w:iCs/>
          <w:color w:val="000000" w:themeColor="text1"/>
          <w:lang w:val="en-GB"/>
        </w:rPr>
        <w:t xml:space="preserve">to surface mutual understanding, explore ideas, and articulate perspectives valuable to the decision-makers. Ultimately, however, once the process of consultation concludes, the decision-makers are left to determine the outcome. </w:t>
      </w:r>
    </w:p>
    <w:p w14:paraId="4C77E46A" w14:textId="3487FC82" w:rsidR="00514564" w:rsidRDefault="223E5302" w:rsidP="069E187B">
      <w:pPr>
        <w:pBdr>
          <w:top w:val="single" w:sz="4" w:space="1" w:color="auto"/>
          <w:left w:val="single" w:sz="4" w:space="4" w:color="auto"/>
          <w:bottom w:val="single" w:sz="4" w:space="1" w:color="auto"/>
          <w:right w:val="single" w:sz="4" w:space="4" w:color="auto"/>
        </w:pBdr>
        <w:shd w:val="clear" w:color="auto" w:fill="FFFFFF" w:themeFill="background1"/>
        <w:spacing w:beforeAutospacing="1" w:after="0" w:afterAutospacing="1" w:line="240" w:lineRule="auto"/>
        <w:rPr>
          <w:rFonts w:ascii="Calibri" w:eastAsia="Calibri" w:hAnsi="Calibri" w:cs="Calibri"/>
          <w:color w:val="000000" w:themeColor="text1"/>
        </w:rPr>
      </w:pPr>
      <w:r w:rsidRPr="069E187B">
        <w:rPr>
          <w:rFonts w:ascii="Calibri" w:eastAsia="Calibri" w:hAnsi="Calibri" w:cs="Calibri"/>
          <w:b/>
          <w:bCs/>
          <w:i/>
          <w:iCs/>
          <w:color w:val="000000" w:themeColor="text1"/>
          <w:lang w:val="en-GB"/>
        </w:rPr>
        <w:t>Co-production</w:t>
      </w:r>
      <w:r w:rsidRPr="069E187B">
        <w:rPr>
          <w:rFonts w:ascii="Calibri" w:eastAsia="Calibri" w:hAnsi="Calibri" w:cs="Calibri"/>
          <w:i/>
          <w:iCs/>
          <w:color w:val="000000" w:themeColor="text1"/>
          <w:lang w:val="en-GB"/>
        </w:rPr>
        <w:t xml:space="preserve"> provides a process for sharing decision-making power. In collaboration, the principal decision-maker/s invite/s others to join them in the process. Collaboration, like consultation, seeks to surface the best ideas through dialogue, exploratory questions, and identifying best practices</w:t>
      </w:r>
      <w:r w:rsidRPr="069E187B">
        <w:rPr>
          <w:rFonts w:ascii="Calibri" w:eastAsia="Calibri" w:hAnsi="Calibri" w:cs="Calibri"/>
          <w:b/>
          <w:bCs/>
          <w:i/>
          <w:iCs/>
          <w:color w:val="000000" w:themeColor="text1"/>
          <w:lang w:val="en-GB"/>
        </w:rPr>
        <w:t xml:space="preserve">. In co-production, however, it is the collective participants who determine the best way forward </w:t>
      </w:r>
      <w:r w:rsidRPr="069E187B">
        <w:rPr>
          <w:rFonts w:ascii="Calibri" w:eastAsia="Calibri" w:hAnsi="Calibri" w:cs="Calibri"/>
          <w:i/>
          <w:iCs/>
          <w:color w:val="000000" w:themeColor="text1"/>
          <w:lang w:val="en-GB"/>
        </w:rPr>
        <w:t xml:space="preserve">and make the decision together. </w:t>
      </w:r>
      <w:r w:rsidRPr="069E187B">
        <w:rPr>
          <w:rFonts w:ascii="Calibri" w:eastAsia="Calibri" w:hAnsi="Calibri" w:cs="Calibri"/>
          <w:i/>
          <w:iCs/>
          <w:color w:val="000000" w:themeColor="text1"/>
          <w:vertAlign w:val="superscript"/>
          <w:lang w:val="en-GB"/>
        </w:rPr>
        <w:t>3</w:t>
      </w:r>
    </w:p>
    <w:p w14:paraId="700B73AE" w14:textId="48F1DF3E" w:rsidR="00514564" w:rsidRDefault="223E5302" w:rsidP="069E187B">
      <w:pPr>
        <w:pBdr>
          <w:top w:val="single" w:sz="4" w:space="1" w:color="auto"/>
          <w:left w:val="single" w:sz="4" w:space="4" w:color="auto"/>
          <w:bottom w:val="single" w:sz="4" w:space="1" w:color="auto"/>
          <w:right w:val="single" w:sz="4" w:space="4" w:color="auto"/>
        </w:pBdr>
        <w:shd w:val="clear" w:color="auto" w:fill="FFFFFF" w:themeFill="background1"/>
        <w:spacing w:beforeAutospacing="1" w:after="0" w:afterAutospacing="1" w:line="240" w:lineRule="auto"/>
        <w:rPr>
          <w:rFonts w:ascii="Calibri" w:eastAsia="Calibri" w:hAnsi="Calibri" w:cs="Calibri"/>
          <w:color w:val="000000" w:themeColor="text1"/>
        </w:rPr>
      </w:pPr>
      <w:r w:rsidRPr="069E187B">
        <w:rPr>
          <w:rFonts w:ascii="Calibri" w:eastAsia="Calibri" w:hAnsi="Calibri" w:cs="Calibri"/>
          <w:color w:val="000000" w:themeColor="text1"/>
          <w:lang w:val="en-GB"/>
        </w:rPr>
        <w:lastRenderedPageBreak/>
        <w:t>Cambridgeshire has committed to co-production, as opposed to a lower level of the ladder.</w:t>
      </w:r>
    </w:p>
    <w:p w14:paraId="20575BE0" w14:textId="021D64FD" w:rsidR="00514564" w:rsidRDefault="00514564" w:rsidP="069E187B">
      <w:pPr>
        <w:tabs>
          <w:tab w:val="left" w:pos="953"/>
          <w:tab w:val="left" w:pos="1673"/>
        </w:tabs>
        <w:spacing w:after="0" w:line="235" w:lineRule="auto"/>
        <w:ind w:right="880"/>
        <w:rPr>
          <w:rFonts w:ascii="Calibri" w:eastAsia="Calibri" w:hAnsi="Calibri" w:cs="Calibri"/>
          <w:color w:val="000000" w:themeColor="text1"/>
          <w:sz w:val="28"/>
          <w:szCs w:val="28"/>
        </w:rPr>
      </w:pPr>
    </w:p>
    <w:p w14:paraId="2085D5CF" w14:textId="3FD687EA" w:rsidR="00514564" w:rsidRDefault="223E5302" w:rsidP="069E187B">
      <w:pPr>
        <w:tabs>
          <w:tab w:val="left" w:pos="953"/>
          <w:tab w:val="left" w:pos="1673"/>
        </w:tabs>
        <w:spacing w:after="0" w:line="235" w:lineRule="auto"/>
        <w:ind w:right="880"/>
        <w:rPr>
          <w:rFonts w:ascii="Calibri" w:eastAsia="Calibri" w:hAnsi="Calibri" w:cs="Calibri"/>
          <w:color w:val="000000" w:themeColor="text1"/>
          <w:sz w:val="28"/>
          <w:szCs w:val="28"/>
        </w:rPr>
      </w:pPr>
      <w:r w:rsidRPr="069E187B">
        <w:rPr>
          <w:rFonts w:ascii="Calibri" w:eastAsia="Calibri" w:hAnsi="Calibri" w:cs="Calibri"/>
          <w:b/>
          <w:bCs/>
          <w:color w:val="000000" w:themeColor="text1"/>
          <w:sz w:val="28"/>
          <w:szCs w:val="28"/>
          <w:lang w:val="en-GB"/>
        </w:rPr>
        <w:t xml:space="preserve">Co-production embedded in the new Cambridgeshire and Peterborough SEND Strategy </w:t>
      </w:r>
    </w:p>
    <w:p w14:paraId="5657CE21" w14:textId="33E1121C" w:rsidR="00514564" w:rsidRDefault="00514564" w:rsidP="069E187B">
      <w:pPr>
        <w:widowControl w:val="0"/>
        <w:spacing w:before="5" w:after="0" w:line="240" w:lineRule="auto"/>
        <w:rPr>
          <w:rFonts w:ascii="Calibri" w:eastAsia="Calibri" w:hAnsi="Calibri" w:cs="Calibri"/>
          <w:color w:val="000000" w:themeColor="text1"/>
        </w:rPr>
      </w:pPr>
    </w:p>
    <w:p w14:paraId="57D7D8F1" w14:textId="21C29F5C" w:rsidR="00514564" w:rsidRDefault="223E5302" w:rsidP="069E187B">
      <w:pPr>
        <w:widowControl w:val="0"/>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Cambridgeshire and Peterborough’s SEND Strategy and Pledge restates the commitment to co-production and uses the co-production infographic below.</w:t>
      </w:r>
    </w:p>
    <w:p w14:paraId="320E5D9A" w14:textId="2431436C" w:rsidR="00514564" w:rsidRDefault="00514564" w:rsidP="069E187B">
      <w:pPr>
        <w:widowControl w:val="0"/>
        <w:spacing w:before="5" w:after="0" w:line="240" w:lineRule="auto"/>
        <w:rPr>
          <w:rFonts w:ascii="Calibri" w:eastAsia="Calibri" w:hAnsi="Calibri" w:cs="Calibri"/>
          <w:color w:val="000000" w:themeColor="text1"/>
        </w:rPr>
      </w:pPr>
    </w:p>
    <w:p w14:paraId="504AF132" w14:textId="715A0CE9" w:rsidR="00514564" w:rsidRDefault="223E5302" w:rsidP="069E187B">
      <w:pPr>
        <w:widowControl w:val="0"/>
        <w:spacing w:before="5" w:after="0" w:line="240" w:lineRule="auto"/>
        <w:jc w:val="center"/>
        <w:rPr>
          <w:rFonts w:ascii="Calibri" w:eastAsia="Calibri" w:hAnsi="Calibri" w:cs="Calibri"/>
          <w:color w:val="000000" w:themeColor="text1"/>
        </w:rPr>
      </w:pPr>
      <w:r>
        <w:rPr>
          <w:noProof/>
        </w:rPr>
        <w:drawing>
          <wp:inline distT="0" distB="0" distL="0" distR="0" wp14:anchorId="75A1788E" wp14:editId="6BD98356">
            <wp:extent cx="4057650" cy="3371850"/>
            <wp:effectExtent l="0" t="0" r="0" b="0"/>
            <wp:docPr id="1974884558" name="Picture 197488455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57650" cy="3371850"/>
                    </a:xfrm>
                    <a:prstGeom prst="rect">
                      <a:avLst/>
                    </a:prstGeom>
                  </pic:spPr>
                </pic:pic>
              </a:graphicData>
            </a:graphic>
          </wp:inline>
        </w:drawing>
      </w:r>
    </w:p>
    <w:p w14:paraId="10938AFC" w14:textId="11DB5A8A" w:rsidR="00514564" w:rsidRDefault="00514564" w:rsidP="069E187B">
      <w:pPr>
        <w:widowControl w:val="0"/>
        <w:spacing w:before="5" w:after="0" w:line="240" w:lineRule="auto"/>
        <w:rPr>
          <w:rFonts w:ascii="Calibri" w:eastAsia="Calibri" w:hAnsi="Calibri" w:cs="Calibri"/>
          <w:color w:val="000000" w:themeColor="text1"/>
        </w:rPr>
      </w:pPr>
    </w:p>
    <w:p w14:paraId="7327EFF3" w14:textId="016929C4" w:rsidR="00514564" w:rsidRDefault="00514564" w:rsidP="069E187B">
      <w:pPr>
        <w:widowControl w:val="0"/>
        <w:spacing w:before="5" w:after="0" w:line="240" w:lineRule="auto"/>
        <w:rPr>
          <w:rFonts w:ascii="Calibri" w:eastAsia="Calibri" w:hAnsi="Calibri" w:cs="Calibri"/>
          <w:color w:val="000000" w:themeColor="text1"/>
        </w:rPr>
      </w:pPr>
    </w:p>
    <w:p w14:paraId="230C6572" w14:textId="5EEAEA9C" w:rsidR="00514564" w:rsidRDefault="223E5302" w:rsidP="069E187B">
      <w:pPr>
        <w:widowControl w:val="0"/>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 xml:space="preserve">The Local Authority has reaffirmed that: </w:t>
      </w:r>
    </w:p>
    <w:p w14:paraId="7CF05AC2" w14:textId="23564DFA"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The contribution from Pinpoint in developing the Local Authorities SEND policies, strategies and commissioned services is highly valued and respected by the Local Authority, with open, honest, and constructive exchanges being a feature of its work as the Parent Carer Forum.</w:t>
      </w:r>
    </w:p>
    <w:p w14:paraId="50BE2ADB" w14:textId="7472CC13"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Co-production is the cornerstone of the reciprocal partnership where everyone’s voice and experience is valued, heard and considered in decision-making.</w:t>
      </w:r>
    </w:p>
    <w:p w14:paraId="3CFE3C2B" w14:textId="63239E68"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Pinpoint, together with the Local Authority, supports and facilitates the involvement of parent carers in the commissioning and improving services for families of children and young people with SEND.</w:t>
      </w:r>
    </w:p>
    <w:p w14:paraId="254E30F7" w14:textId="3C453956"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 xml:space="preserve">Commissioners and parent carers, including the Forum, are committed to working together to achieve the principles set out in the Cambridgeshire and Peterborough SEND Strategy and its SEND Pledge. </w:t>
      </w:r>
    </w:p>
    <w:p w14:paraId="2A209DDC" w14:textId="0D1E1BA5"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To achieve high-quality co-production at every stage Pinpoint will have a seat on all strategic Boards relating to SEND and its service delivery enabling sharing of insights, issues, and the co-production of solutions to address barriers and enablers senior system leaders can use to enhance SEND outcomes. (This can be seen in the structure diagram).</w:t>
      </w:r>
    </w:p>
    <w:p w14:paraId="0A667535" w14:textId="78D23D93"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 xml:space="preserve">Commissioners will work with Pinpoint to help plan for co-production through the LA Board and </w:t>
      </w:r>
      <w:r w:rsidRPr="069E187B">
        <w:rPr>
          <w:rFonts w:ascii="Calibri" w:eastAsia="Calibri" w:hAnsi="Calibri" w:cs="Calibri"/>
          <w:color w:val="000000" w:themeColor="text1"/>
        </w:rPr>
        <w:lastRenderedPageBreak/>
        <w:t>parent carer participation at every opportunity in the commissioning and (re)design of services.</w:t>
      </w:r>
    </w:p>
    <w:p w14:paraId="02D37922" w14:textId="44E01C62" w:rsidR="00514564" w:rsidRDefault="223E5302" w:rsidP="069E187B">
      <w:pPr>
        <w:pStyle w:val="ListParagraph"/>
        <w:widowControl w:val="0"/>
        <w:numPr>
          <w:ilvl w:val="0"/>
          <w:numId w:val="9"/>
        </w:numPr>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 xml:space="preserve">Pinpoint will ensure commissioners are fully engaged </w:t>
      </w:r>
      <w:r w:rsidRPr="069E187B">
        <w:rPr>
          <w:rFonts w:ascii="Calibri" w:eastAsia="Calibri" w:hAnsi="Calibri" w:cs="Calibri"/>
          <w:strike/>
          <w:color w:val="000000" w:themeColor="text1"/>
        </w:rPr>
        <w:t xml:space="preserve">to </w:t>
      </w:r>
      <w:r w:rsidRPr="069E187B">
        <w:rPr>
          <w:rFonts w:ascii="Calibri" w:eastAsia="Calibri" w:hAnsi="Calibri" w:cs="Calibri"/>
          <w:color w:val="000000" w:themeColor="text1"/>
        </w:rPr>
        <w:t xml:space="preserve">and support the Forum and its representatives at the Pinpoint-hosted, termly Partners in Commissioning Meeting, which has its own terms of reference. </w:t>
      </w:r>
    </w:p>
    <w:p w14:paraId="69B84F86" w14:textId="1A57A54D" w:rsidR="00514564" w:rsidRDefault="223E5302" w:rsidP="069E187B">
      <w:pPr>
        <w:pStyle w:val="ListParagraph"/>
        <w:numPr>
          <w:ilvl w:val="0"/>
          <w:numId w:val="9"/>
        </w:numPr>
        <w:spacing w:after="0" w:line="240" w:lineRule="auto"/>
        <w:jc w:val="both"/>
        <w:rPr>
          <w:rFonts w:ascii="Calibri" w:eastAsia="Calibri" w:hAnsi="Calibri" w:cs="Calibri"/>
          <w:color w:val="000000" w:themeColor="text1"/>
        </w:rPr>
      </w:pPr>
      <w:r w:rsidRPr="069E187B">
        <w:rPr>
          <w:rFonts w:ascii="Calibri" w:eastAsia="Calibri" w:hAnsi="Calibri" w:cs="Calibri"/>
          <w:color w:val="000000" w:themeColor="text1"/>
        </w:rPr>
        <w:t>Commissioners, officers, and Pinpoint representatives will use collaborative and facilitating approaches to establish and maintain working relationships with professionals across social care, education, and health with an enabling perspective.</w:t>
      </w:r>
    </w:p>
    <w:p w14:paraId="53CDC454" w14:textId="4632C431" w:rsidR="00514564" w:rsidRDefault="223E5302" w:rsidP="069E187B">
      <w:pPr>
        <w:pStyle w:val="ListParagraph"/>
        <w:numPr>
          <w:ilvl w:val="0"/>
          <w:numId w:val="9"/>
        </w:numPr>
        <w:spacing w:after="0" w:line="240" w:lineRule="auto"/>
        <w:jc w:val="both"/>
        <w:rPr>
          <w:rFonts w:ascii="Calibri" w:eastAsia="Calibri" w:hAnsi="Calibri" w:cs="Calibri"/>
          <w:color w:val="000000" w:themeColor="text1"/>
        </w:rPr>
      </w:pPr>
      <w:r w:rsidRPr="069E187B">
        <w:rPr>
          <w:rFonts w:ascii="Calibri" w:eastAsia="Calibri" w:hAnsi="Calibri" w:cs="Calibri"/>
          <w:color w:val="000000" w:themeColor="text1"/>
        </w:rPr>
        <w:t>The Local Authority, and Pinpoint, will collect and collate parent carer views on relevant focused areas of activity relating to SEND policy, practices, and commissioning services.</w:t>
      </w:r>
    </w:p>
    <w:p w14:paraId="02974CA9" w14:textId="16E18895" w:rsidR="00514564" w:rsidRDefault="00514564" w:rsidP="069E187B">
      <w:pPr>
        <w:widowControl w:val="0"/>
        <w:spacing w:before="5" w:after="0" w:line="240" w:lineRule="auto"/>
        <w:ind w:left="720"/>
        <w:rPr>
          <w:rFonts w:ascii="Calibri" w:eastAsia="Calibri" w:hAnsi="Calibri" w:cs="Calibri"/>
          <w:color w:val="000000" w:themeColor="text1"/>
        </w:rPr>
      </w:pPr>
    </w:p>
    <w:p w14:paraId="4F597690" w14:textId="7830F251" w:rsidR="00514564" w:rsidRDefault="00514564" w:rsidP="069E187B">
      <w:pPr>
        <w:widowControl w:val="0"/>
        <w:spacing w:before="5" w:after="0" w:line="240" w:lineRule="auto"/>
        <w:rPr>
          <w:rFonts w:ascii="Calibri" w:eastAsia="Calibri" w:hAnsi="Calibri" w:cs="Calibri"/>
          <w:color w:val="000000" w:themeColor="text1"/>
        </w:rPr>
      </w:pPr>
    </w:p>
    <w:p w14:paraId="4F9EA752" w14:textId="77616E33" w:rsidR="00514564" w:rsidRDefault="223E5302" w:rsidP="069E187B">
      <w:pPr>
        <w:widowControl w:val="0"/>
        <w:spacing w:before="5" w:after="0" w:line="240" w:lineRule="auto"/>
        <w:rPr>
          <w:rFonts w:ascii="Calibri" w:eastAsia="Calibri" w:hAnsi="Calibri" w:cs="Calibri"/>
          <w:color w:val="000000" w:themeColor="text1"/>
        </w:rPr>
      </w:pPr>
      <w:r w:rsidRPr="069E187B">
        <w:rPr>
          <w:rFonts w:ascii="Calibri" w:eastAsia="Calibri" w:hAnsi="Calibri" w:cs="Calibri"/>
          <w:color w:val="000000" w:themeColor="text1"/>
        </w:rPr>
        <w:t>In addition to Pinpoint being an independent Parent Carer Forum, it also contracts with the Local Authority to provide additional capacity to develop services through a profile of additional representation. In this process, parent carers use their lived experience to engage and (re)design and implement</w:t>
      </w:r>
      <w:r w:rsidRPr="069E187B">
        <w:rPr>
          <w:rFonts w:ascii="Calibri" w:eastAsia="Calibri" w:hAnsi="Calibri" w:cs="Calibri"/>
          <w:strike/>
          <w:color w:val="000000" w:themeColor="text1"/>
        </w:rPr>
        <w:t xml:space="preserve"> </w:t>
      </w:r>
      <w:r w:rsidRPr="069E187B">
        <w:rPr>
          <w:rFonts w:ascii="Calibri" w:eastAsia="Calibri" w:hAnsi="Calibri" w:cs="Calibri"/>
          <w:color w:val="000000" w:themeColor="text1"/>
        </w:rPr>
        <w:t>changes to services through direct and indirect involvement in strategic activity for SEND and aligned Council services. Pinpoint assists in the collation of parent carer views on relevant focused areas of activity relating to the co-production of services. It also provides feedback to enable service commissioners to evaluate the services they commission and to consider how well services meet the needs and aspirations of the children, young people, and families they provide for.</w:t>
      </w:r>
    </w:p>
    <w:p w14:paraId="1D6D2112" w14:textId="7D80B6E5" w:rsidR="00514564" w:rsidRDefault="00514564" w:rsidP="069E187B">
      <w:pPr>
        <w:widowControl w:val="0"/>
        <w:spacing w:before="10" w:after="0" w:line="240" w:lineRule="auto"/>
        <w:rPr>
          <w:rFonts w:ascii="Calibri" w:eastAsia="Calibri" w:hAnsi="Calibri" w:cs="Calibri"/>
          <w:color w:val="000000" w:themeColor="text1"/>
        </w:rPr>
      </w:pPr>
    </w:p>
    <w:p w14:paraId="2784F9C9" w14:textId="480A4B86" w:rsidR="00514564" w:rsidRDefault="223E5302" w:rsidP="069E187B">
      <w:pPr>
        <w:widowControl w:val="0"/>
        <w:spacing w:before="10" w:after="0" w:line="240" w:lineRule="auto"/>
        <w:rPr>
          <w:rFonts w:ascii="Calibri" w:eastAsia="Calibri" w:hAnsi="Calibri" w:cs="Calibri"/>
          <w:color w:val="000000" w:themeColor="text1"/>
        </w:rPr>
      </w:pPr>
      <w:r w:rsidRPr="069E187B">
        <w:rPr>
          <w:rFonts w:ascii="Calibri" w:eastAsia="Calibri" w:hAnsi="Calibri" w:cs="Calibri"/>
          <w:b/>
          <w:bCs/>
          <w:color w:val="000000" w:themeColor="text1"/>
        </w:rPr>
        <w:t>A new Co-production Toolkit for Commissioning 2021 - 2022</w:t>
      </w:r>
    </w:p>
    <w:p w14:paraId="45AC6726" w14:textId="3197D808" w:rsidR="00514564" w:rsidRDefault="223E5302" w:rsidP="069E187B">
      <w:pPr>
        <w:widowControl w:val="0"/>
        <w:spacing w:before="10" w:after="0" w:line="240" w:lineRule="auto"/>
        <w:rPr>
          <w:rFonts w:ascii="Calibri" w:eastAsia="Calibri" w:hAnsi="Calibri" w:cs="Calibri"/>
          <w:color w:val="000000" w:themeColor="text1"/>
        </w:rPr>
      </w:pPr>
      <w:r w:rsidRPr="069E187B">
        <w:rPr>
          <w:rFonts w:ascii="Calibri" w:eastAsia="Calibri" w:hAnsi="Calibri" w:cs="Calibri"/>
          <w:color w:val="000000" w:themeColor="text1"/>
        </w:rPr>
        <w:t>Commissioners embarked on the development of a co-produced toolkit in 2021/2022 to support service commissioners in the work.</w:t>
      </w:r>
    </w:p>
    <w:p w14:paraId="2C078E63" w14:textId="74830E1A" w:rsidR="00514564" w:rsidRDefault="00514564" w:rsidP="069E187B"/>
    <w:sectPr w:rsidR="00514564">
      <w:pgSz w:w="12240" w:h="15840"/>
      <w:pgMar w:top="45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7E11"/>
    <w:multiLevelType w:val="hybridMultilevel"/>
    <w:tmpl w:val="0B483B6A"/>
    <w:lvl w:ilvl="0" w:tplc="A2A4E42C">
      <w:start w:val="1"/>
      <w:numFmt w:val="bullet"/>
      <w:lvlText w:val=""/>
      <w:lvlJc w:val="left"/>
      <w:pPr>
        <w:ind w:left="720" w:hanging="360"/>
      </w:pPr>
      <w:rPr>
        <w:rFonts w:ascii="Symbol" w:hAnsi="Symbol" w:hint="default"/>
      </w:rPr>
    </w:lvl>
    <w:lvl w:ilvl="1" w:tplc="2F7C31D2">
      <w:start w:val="1"/>
      <w:numFmt w:val="bullet"/>
      <w:lvlText w:val="o"/>
      <w:lvlJc w:val="left"/>
      <w:pPr>
        <w:ind w:left="1440" w:hanging="360"/>
      </w:pPr>
      <w:rPr>
        <w:rFonts w:ascii="Courier New" w:hAnsi="Courier New" w:hint="default"/>
      </w:rPr>
    </w:lvl>
    <w:lvl w:ilvl="2" w:tplc="93A822E6">
      <w:start w:val="1"/>
      <w:numFmt w:val="bullet"/>
      <w:lvlText w:val=""/>
      <w:lvlJc w:val="left"/>
      <w:pPr>
        <w:ind w:left="2160" w:hanging="360"/>
      </w:pPr>
      <w:rPr>
        <w:rFonts w:ascii="Wingdings" w:hAnsi="Wingdings" w:hint="default"/>
      </w:rPr>
    </w:lvl>
    <w:lvl w:ilvl="3" w:tplc="44FE31F0">
      <w:start w:val="1"/>
      <w:numFmt w:val="bullet"/>
      <w:lvlText w:val=""/>
      <w:lvlJc w:val="left"/>
      <w:pPr>
        <w:ind w:left="2880" w:hanging="360"/>
      </w:pPr>
      <w:rPr>
        <w:rFonts w:ascii="Symbol" w:hAnsi="Symbol" w:hint="default"/>
      </w:rPr>
    </w:lvl>
    <w:lvl w:ilvl="4" w:tplc="1CB6D328">
      <w:start w:val="1"/>
      <w:numFmt w:val="bullet"/>
      <w:lvlText w:val="o"/>
      <w:lvlJc w:val="left"/>
      <w:pPr>
        <w:ind w:left="3600" w:hanging="360"/>
      </w:pPr>
      <w:rPr>
        <w:rFonts w:ascii="Courier New" w:hAnsi="Courier New" w:hint="default"/>
      </w:rPr>
    </w:lvl>
    <w:lvl w:ilvl="5" w:tplc="51824F7E">
      <w:start w:val="1"/>
      <w:numFmt w:val="bullet"/>
      <w:lvlText w:val=""/>
      <w:lvlJc w:val="left"/>
      <w:pPr>
        <w:ind w:left="4320" w:hanging="360"/>
      </w:pPr>
      <w:rPr>
        <w:rFonts w:ascii="Wingdings" w:hAnsi="Wingdings" w:hint="default"/>
      </w:rPr>
    </w:lvl>
    <w:lvl w:ilvl="6" w:tplc="1C8A3D48">
      <w:start w:val="1"/>
      <w:numFmt w:val="bullet"/>
      <w:lvlText w:val=""/>
      <w:lvlJc w:val="left"/>
      <w:pPr>
        <w:ind w:left="5040" w:hanging="360"/>
      </w:pPr>
      <w:rPr>
        <w:rFonts w:ascii="Symbol" w:hAnsi="Symbol" w:hint="default"/>
      </w:rPr>
    </w:lvl>
    <w:lvl w:ilvl="7" w:tplc="6DF27144">
      <w:start w:val="1"/>
      <w:numFmt w:val="bullet"/>
      <w:lvlText w:val="o"/>
      <w:lvlJc w:val="left"/>
      <w:pPr>
        <w:ind w:left="5760" w:hanging="360"/>
      </w:pPr>
      <w:rPr>
        <w:rFonts w:ascii="Courier New" w:hAnsi="Courier New" w:hint="default"/>
      </w:rPr>
    </w:lvl>
    <w:lvl w:ilvl="8" w:tplc="E07CB234">
      <w:start w:val="1"/>
      <w:numFmt w:val="bullet"/>
      <w:lvlText w:val=""/>
      <w:lvlJc w:val="left"/>
      <w:pPr>
        <w:ind w:left="6480" w:hanging="360"/>
      </w:pPr>
      <w:rPr>
        <w:rFonts w:ascii="Wingdings" w:hAnsi="Wingdings" w:hint="default"/>
      </w:rPr>
    </w:lvl>
  </w:abstractNum>
  <w:abstractNum w:abstractNumId="1" w15:restartNumberingAfterBreak="0">
    <w:nsid w:val="11ED70C3"/>
    <w:multiLevelType w:val="hybridMultilevel"/>
    <w:tmpl w:val="53623D2A"/>
    <w:lvl w:ilvl="0" w:tplc="EF10C2CA">
      <w:start w:val="1"/>
      <w:numFmt w:val="bullet"/>
      <w:lvlText w:val=""/>
      <w:lvlJc w:val="left"/>
      <w:pPr>
        <w:ind w:left="720" w:hanging="360"/>
      </w:pPr>
      <w:rPr>
        <w:rFonts w:ascii="Symbol" w:hAnsi="Symbol" w:hint="default"/>
      </w:rPr>
    </w:lvl>
    <w:lvl w:ilvl="1" w:tplc="34A2B020">
      <w:start w:val="1"/>
      <w:numFmt w:val="bullet"/>
      <w:lvlText w:val="o"/>
      <w:lvlJc w:val="left"/>
      <w:pPr>
        <w:ind w:left="1440" w:hanging="360"/>
      </w:pPr>
      <w:rPr>
        <w:rFonts w:ascii="Courier New" w:hAnsi="Courier New" w:hint="default"/>
      </w:rPr>
    </w:lvl>
    <w:lvl w:ilvl="2" w:tplc="6D5CF61E">
      <w:start w:val="1"/>
      <w:numFmt w:val="bullet"/>
      <w:lvlText w:val=""/>
      <w:lvlJc w:val="left"/>
      <w:pPr>
        <w:ind w:left="2160" w:hanging="360"/>
      </w:pPr>
      <w:rPr>
        <w:rFonts w:ascii="Wingdings" w:hAnsi="Wingdings" w:hint="default"/>
      </w:rPr>
    </w:lvl>
    <w:lvl w:ilvl="3" w:tplc="7CFA1370">
      <w:start w:val="1"/>
      <w:numFmt w:val="bullet"/>
      <w:lvlText w:val=""/>
      <w:lvlJc w:val="left"/>
      <w:pPr>
        <w:ind w:left="2880" w:hanging="360"/>
      </w:pPr>
      <w:rPr>
        <w:rFonts w:ascii="Symbol" w:hAnsi="Symbol" w:hint="default"/>
      </w:rPr>
    </w:lvl>
    <w:lvl w:ilvl="4" w:tplc="2EB412D2">
      <w:start w:val="1"/>
      <w:numFmt w:val="bullet"/>
      <w:lvlText w:val="o"/>
      <w:lvlJc w:val="left"/>
      <w:pPr>
        <w:ind w:left="3600" w:hanging="360"/>
      </w:pPr>
      <w:rPr>
        <w:rFonts w:ascii="Courier New" w:hAnsi="Courier New" w:hint="default"/>
      </w:rPr>
    </w:lvl>
    <w:lvl w:ilvl="5" w:tplc="5F0A9A0C">
      <w:start w:val="1"/>
      <w:numFmt w:val="bullet"/>
      <w:lvlText w:val=""/>
      <w:lvlJc w:val="left"/>
      <w:pPr>
        <w:ind w:left="4320" w:hanging="360"/>
      </w:pPr>
      <w:rPr>
        <w:rFonts w:ascii="Wingdings" w:hAnsi="Wingdings" w:hint="default"/>
      </w:rPr>
    </w:lvl>
    <w:lvl w:ilvl="6" w:tplc="582E55B4">
      <w:start w:val="1"/>
      <w:numFmt w:val="bullet"/>
      <w:lvlText w:val=""/>
      <w:lvlJc w:val="left"/>
      <w:pPr>
        <w:ind w:left="5040" w:hanging="360"/>
      </w:pPr>
      <w:rPr>
        <w:rFonts w:ascii="Symbol" w:hAnsi="Symbol" w:hint="default"/>
      </w:rPr>
    </w:lvl>
    <w:lvl w:ilvl="7" w:tplc="40BCE034">
      <w:start w:val="1"/>
      <w:numFmt w:val="bullet"/>
      <w:lvlText w:val="o"/>
      <w:lvlJc w:val="left"/>
      <w:pPr>
        <w:ind w:left="5760" w:hanging="360"/>
      </w:pPr>
      <w:rPr>
        <w:rFonts w:ascii="Courier New" w:hAnsi="Courier New" w:hint="default"/>
      </w:rPr>
    </w:lvl>
    <w:lvl w:ilvl="8" w:tplc="B3903D4E">
      <w:start w:val="1"/>
      <w:numFmt w:val="bullet"/>
      <w:lvlText w:val=""/>
      <w:lvlJc w:val="left"/>
      <w:pPr>
        <w:ind w:left="6480" w:hanging="360"/>
      </w:pPr>
      <w:rPr>
        <w:rFonts w:ascii="Wingdings" w:hAnsi="Wingdings" w:hint="default"/>
      </w:rPr>
    </w:lvl>
  </w:abstractNum>
  <w:abstractNum w:abstractNumId="2" w15:restartNumberingAfterBreak="0">
    <w:nsid w:val="168AAF27"/>
    <w:multiLevelType w:val="hybridMultilevel"/>
    <w:tmpl w:val="4516E562"/>
    <w:lvl w:ilvl="0" w:tplc="73B2EBE8">
      <w:start w:val="1"/>
      <w:numFmt w:val="bullet"/>
      <w:lvlText w:val=""/>
      <w:lvlJc w:val="left"/>
      <w:pPr>
        <w:ind w:left="720" w:hanging="360"/>
      </w:pPr>
      <w:rPr>
        <w:rFonts w:ascii="Symbol" w:hAnsi="Symbol" w:hint="default"/>
      </w:rPr>
    </w:lvl>
    <w:lvl w:ilvl="1" w:tplc="CABC4D74">
      <w:start w:val="1"/>
      <w:numFmt w:val="bullet"/>
      <w:lvlText w:val="o"/>
      <w:lvlJc w:val="left"/>
      <w:pPr>
        <w:ind w:left="1440" w:hanging="360"/>
      </w:pPr>
      <w:rPr>
        <w:rFonts w:ascii="Courier New" w:hAnsi="Courier New" w:hint="default"/>
      </w:rPr>
    </w:lvl>
    <w:lvl w:ilvl="2" w:tplc="C61EDF68">
      <w:start w:val="1"/>
      <w:numFmt w:val="bullet"/>
      <w:lvlText w:val=""/>
      <w:lvlJc w:val="left"/>
      <w:pPr>
        <w:ind w:left="2160" w:hanging="360"/>
      </w:pPr>
      <w:rPr>
        <w:rFonts w:ascii="Wingdings" w:hAnsi="Wingdings" w:hint="default"/>
      </w:rPr>
    </w:lvl>
    <w:lvl w:ilvl="3" w:tplc="5C3C02A6">
      <w:start w:val="1"/>
      <w:numFmt w:val="bullet"/>
      <w:lvlText w:val=""/>
      <w:lvlJc w:val="left"/>
      <w:pPr>
        <w:ind w:left="2880" w:hanging="360"/>
      </w:pPr>
      <w:rPr>
        <w:rFonts w:ascii="Symbol" w:hAnsi="Symbol" w:hint="default"/>
      </w:rPr>
    </w:lvl>
    <w:lvl w:ilvl="4" w:tplc="10527D7A">
      <w:start w:val="1"/>
      <w:numFmt w:val="bullet"/>
      <w:lvlText w:val="o"/>
      <w:lvlJc w:val="left"/>
      <w:pPr>
        <w:ind w:left="3600" w:hanging="360"/>
      </w:pPr>
      <w:rPr>
        <w:rFonts w:ascii="Courier New" w:hAnsi="Courier New" w:hint="default"/>
      </w:rPr>
    </w:lvl>
    <w:lvl w:ilvl="5" w:tplc="28385D52">
      <w:start w:val="1"/>
      <w:numFmt w:val="bullet"/>
      <w:lvlText w:val=""/>
      <w:lvlJc w:val="left"/>
      <w:pPr>
        <w:ind w:left="4320" w:hanging="360"/>
      </w:pPr>
      <w:rPr>
        <w:rFonts w:ascii="Wingdings" w:hAnsi="Wingdings" w:hint="default"/>
      </w:rPr>
    </w:lvl>
    <w:lvl w:ilvl="6" w:tplc="74AA05E8">
      <w:start w:val="1"/>
      <w:numFmt w:val="bullet"/>
      <w:lvlText w:val=""/>
      <w:lvlJc w:val="left"/>
      <w:pPr>
        <w:ind w:left="5040" w:hanging="360"/>
      </w:pPr>
      <w:rPr>
        <w:rFonts w:ascii="Symbol" w:hAnsi="Symbol" w:hint="default"/>
      </w:rPr>
    </w:lvl>
    <w:lvl w:ilvl="7" w:tplc="16F662EA">
      <w:start w:val="1"/>
      <w:numFmt w:val="bullet"/>
      <w:lvlText w:val="o"/>
      <w:lvlJc w:val="left"/>
      <w:pPr>
        <w:ind w:left="5760" w:hanging="360"/>
      </w:pPr>
      <w:rPr>
        <w:rFonts w:ascii="Courier New" w:hAnsi="Courier New" w:hint="default"/>
      </w:rPr>
    </w:lvl>
    <w:lvl w:ilvl="8" w:tplc="079EB828">
      <w:start w:val="1"/>
      <w:numFmt w:val="bullet"/>
      <w:lvlText w:val=""/>
      <w:lvlJc w:val="left"/>
      <w:pPr>
        <w:ind w:left="6480" w:hanging="360"/>
      </w:pPr>
      <w:rPr>
        <w:rFonts w:ascii="Wingdings" w:hAnsi="Wingdings" w:hint="default"/>
      </w:rPr>
    </w:lvl>
  </w:abstractNum>
  <w:abstractNum w:abstractNumId="3" w15:restartNumberingAfterBreak="0">
    <w:nsid w:val="20BEC064"/>
    <w:multiLevelType w:val="hybridMultilevel"/>
    <w:tmpl w:val="05109B8E"/>
    <w:lvl w:ilvl="0" w:tplc="3BA21FBC">
      <w:start w:val="1"/>
      <w:numFmt w:val="bullet"/>
      <w:lvlText w:val=""/>
      <w:lvlJc w:val="left"/>
      <w:pPr>
        <w:ind w:left="720" w:hanging="360"/>
      </w:pPr>
      <w:rPr>
        <w:rFonts w:ascii="Symbol" w:hAnsi="Symbol" w:hint="default"/>
      </w:rPr>
    </w:lvl>
    <w:lvl w:ilvl="1" w:tplc="F634AD7A">
      <w:start w:val="1"/>
      <w:numFmt w:val="bullet"/>
      <w:lvlText w:val="o"/>
      <w:lvlJc w:val="left"/>
      <w:pPr>
        <w:ind w:left="1440" w:hanging="360"/>
      </w:pPr>
      <w:rPr>
        <w:rFonts w:ascii="Courier New" w:hAnsi="Courier New" w:hint="default"/>
      </w:rPr>
    </w:lvl>
    <w:lvl w:ilvl="2" w:tplc="ADEE1512">
      <w:start w:val="1"/>
      <w:numFmt w:val="bullet"/>
      <w:lvlText w:val=""/>
      <w:lvlJc w:val="left"/>
      <w:pPr>
        <w:ind w:left="2160" w:hanging="360"/>
      </w:pPr>
      <w:rPr>
        <w:rFonts w:ascii="Wingdings" w:hAnsi="Wingdings" w:hint="default"/>
      </w:rPr>
    </w:lvl>
    <w:lvl w:ilvl="3" w:tplc="B84AA022">
      <w:start w:val="1"/>
      <w:numFmt w:val="bullet"/>
      <w:lvlText w:val=""/>
      <w:lvlJc w:val="left"/>
      <w:pPr>
        <w:ind w:left="2880" w:hanging="360"/>
      </w:pPr>
      <w:rPr>
        <w:rFonts w:ascii="Symbol" w:hAnsi="Symbol" w:hint="default"/>
      </w:rPr>
    </w:lvl>
    <w:lvl w:ilvl="4" w:tplc="A232D7E2">
      <w:start w:val="1"/>
      <w:numFmt w:val="bullet"/>
      <w:lvlText w:val="o"/>
      <w:lvlJc w:val="left"/>
      <w:pPr>
        <w:ind w:left="3600" w:hanging="360"/>
      </w:pPr>
      <w:rPr>
        <w:rFonts w:ascii="Courier New" w:hAnsi="Courier New" w:hint="default"/>
      </w:rPr>
    </w:lvl>
    <w:lvl w:ilvl="5" w:tplc="8A7AD0CE">
      <w:start w:val="1"/>
      <w:numFmt w:val="bullet"/>
      <w:lvlText w:val=""/>
      <w:lvlJc w:val="left"/>
      <w:pPr>
        <w:ind w:left="4320" w:hanging="360"/>
      </w:pPr>
      <w:rPr>
        <w:rFonts w:ascii="Wingdings" w:hAnsi="Wingdings" w:hint="default"/>
      </w:rPr>
    </w:lvl>
    <w:lvl w:ilvl="6" w:tplc="EF74E5CA">
      <w:start w:val="1"/>
      <w:numFmt w:val="bullet"/>
      <w:lvlText w:val=""/>
      <w:lvlJc w:val="left"/>
      <w:pPr>
        <w:ind w:left="5040" w:hanging="360"/>
      </w:pPr>
      <w:rPr>
        <w:rFonts w:ascii="Symbol" w:hAnsi="Symbol" w:hint="default"/>
      </w:rPr>
    </w:lvl>
    <w:lvl w:ilvl="7" w:tplc="2DF67EB8">
      <w:start w:val="1"/>
      <w:numFmt w:val="bullet"/>
      <w:lvlText w:val="o"/>
      <w:lvlJc w:val="left"/>
      <w:pPr>
        <w:ind w:left="5760" w:hanging="360"/>
      </w:pPr>
      <w:rPr>
        <w:rFonts w:ascii="Courier New" w:hAnsi="Courier New" w:hint="default"/>
      </w:rPr>
    </w:lvl>
    <w:lvl w:ilvl="8" w:tplc="F14EBE3E">
      <w:start w:val="1"/>
      <w:numFmt w:val="bullet"/>
      <w:lvlText w:val=""/>
      <w:lvlJc w:val="left"/>
      <w:pPr>
        <w:ind w:left="6480" w:hanging="360"/>
      </w:pPr>
      <w:rPr>
        <w:rFonts w:ascii="Wingdings" w:hAnsi="Wingdings" w:hint="default"/>
      </w:rPr>
    </w:lvl>
  </w:abstractNum>
  <w:abstractNum w:abstractNumId="4" w15:restartNumberingAfterBreak="0">
    <w:nsid w:val="27763236"/>
    <w:multiLevelType w:val="hybridMultilevel"/>
    <w:tmpl w:val="966EA15E"/>
    <w:lvl w:ilvl="0" w:tplc="1090DF56">
      <w:start w:val="1"/>
      <w:numFmt w:val="bullet"/>
      <w:lvlText w:val=""/>
      <w:lvlJc w:val="left"/>
      <w:pPr>
        <w:ind w:left="720" w:hanging="360"/>
      </w:pPr>
      <w:rPr>
        <w:rFonts w:ascii="Symbol" w:hAnsi="Symbol" w:hint="default"/>
      </w:rPr>
    </w:lvl>
    <w:lvl w:ilvl="1" w:tplc="A6967360">
      <w:start w:val="1"/>
      <w:numFmt w:val="bullet"/>
      <w:lvlText w:val="o"/>
      <w:lvlJc w:val="left"/>
      <w:pPr>
        <w:ind w:left="1440" w:hanging="360"/>
      </w:pPr>
      <w:rPr>
        <w:rFonts w:ascii="Courier New" w:hAnsi="Courier New" w:hint="default"/>
      </w:rPr>
    </w:lvl>
    <w:lvl w:ilvl="2" w:tplc="A2FE8DDE">
      <w:start w:val="1"/>
      <w:numFmt w:val="bullet"/>
      <w:lvlText w:val=""/>
      <w:lvlJc w:val="left"/>
      <w:pPr>
        <w:ind w:left="2160" w:hanging="360"/>
      </w:pPr>
      <w:rPr>
        <w:rFonts w:ascii="Wingdings" w:hAnsi="Wingdings" w:hint="default"/>
      </w:rPr>
    </w:lvl>
    <w:lvl w:ilvl="3" w:tplc="E870D4F4">
      <w:start w:val="1"/>
      <w:numFmt w:val="bullet"/>
      <w:lvlText w:val=""/>
      <w:lvlJc w:val="left"/>
      <w:pPr>
        <w:ind w:left="2880" w:hanging="360"/>
      </w:pPr>
      <w:rPr>
        <w:rFonts w:ascii="Symbol" w:hAnsi="Symbol" w:hint="default"/>
      </w:rPr>
    </w:lvl>
    <w:lvl w:ilvl="4" w:tplc="25103E5C">
      <w:start w:val="1"/>
      <w:numFmt w:val="bullet"/>
      <w:lvlText w:val="o"/>
      <w:lvlJc w:val="left"/>
      <w:pPr>
        <w:ind w:left="3600" w:hanging="360"/>
      </w:pPr>
      <w:rPr>
        <w:rFonts w:ascii="Courier New" w:hAnsi="Courier New" w:hint="default"/>
      </w:rPr>
    </w:lvl>
    <w:lvl w:ilvl="5" w:tplc="C07C04E8">
      <w:start w:val="1"/>
      <w:numFmt w:val="bullet"/>
      <w:lvlText w:val=""/>
      <w:lvlJc w:val="left"/>
      <w:pPr>
        <w:ind w:left="4320" w:hanging="360"/>
      </w:pPr>
      <w:rPr>
        <w:rFonts w:ascii="Wingdings" w:hAnsi="Wingdings" w:hint="default"/>
      </w:rPr>
    </w:lvl>
    <w:lvl w:ilvl="6" w:tplc="713C7D3E">
      <w:start w:val="1"/>
      <w:numFmt w:val="bullet"/>
      <w:lvlText w:val=""/>
      <w:lvlJc w:val="left"/>
      <w:pPr>
        <w:ind w:left="5040" w:hanging="360"/>
      </w:pPr>
      <w:rPr>
        <w:rFonts w:ascii="Symbol" w:hAnsi="Symbol" w:hint="default"/>
      </w:rPr>
    </w:lvl>
    <w:lvl w:ilvl="7" w:tplc="4AD40790">
      <w:start w:val="1"/>
      <w:numFmt w:val="bullet"/>
      <w:lvlText w:val="o"/>
      <w:lvlJc w:val="left"/>
      <w:pPr>
        <w:ind w:left="5760" w:hanging="360"/>
      </w:pPr>
      <w:rPr>
        <w:rFonts w:ascii="Courier New" w:hAnsi="Courier New" w:hint="default"/>
      </w:rPr>
    </w:lvl>
    <w:lvl w:ilvl="8" w:tplc="64B4A4F6">
      <w:start w:val="1"/>
      <w:numFmt w:val="bullet"/>
      <w:lvlText w:val=""/>
      <w:lvlJc w:val="left"/>
      <w:pPr>
        <w:ind w:left="6480" w:hanging="360"/>
      </w:pPr>
      <w:rPr>
        <w:rFonts w:ascii="Wingdings" w:hAnsi="Wingdings" w:hint="default"/>
      </w:rPr>
    </w:lvl>
  </w:abstractNum>
  <w:abstractNum w:abstractNumId="5" w15:restartNumberingAfterBreak="0">
    <w:nsid w:val="53EC3E75"/>
    <w:multiLevelType w:val="hybridMultilevel"/>
    <w:tmpl w:val="A4389C26"/>
    <w:lvl w:ilvl="0" w:tplc="ED2894E4">
      <w:start w:val="1"/>
      <w:numFmt w:val="bullet"/>
      <w:lvlText w:val=""/>
      <w:lvlJc w:val="left"/>
      <w:pPr>
        <w:ind w:left="720" w:hanging="360"/>
      </w:pPr>
      <w:rPr>
        <w:rFonts w:ascii="Symbol" w:hAnsi="Symbol" w:hint="default"/>
      </w:rPr>
    </w:lvl>
    <w:lvl w:ilvl="1" w:tplc="540E3310">
      <w:start w:val="1"/>
      <w:numFmt w:val="bullet"/>
      <w:lvlText w:val="o"/>
      <w:lvlJc w:val="left"/>
      <w:pPr>
        <w:ind w:left="1440" w:hanging="360"/>
      </w:pPr>
      <w:rPr>
        <w:rFonts w:ascii="Courier New" w:hAnsi="Courier New" w:hint="default"/>
      </w:rPr>
    </w:lvl>
    <w:lvl w:ilvl="2" w:tplc="36466F48">
      <w:start w:val="1"/>
      <w:numFmt w:val="bullet"/>
      <w:lvlText w:val=""/>
      <w:lvlJc w:val="left"/>
      <w:pPr>
        <w:ind w:left="2160" w:hanging="360"/>
      </w:pPr>
      <w:rPr>
        <w:rFonts w:ascii="Wingdings" w:hAnsi="Wingdings" w:hint="default"/>
      </w:rPr>
    </w:lvl>
    <w:lvl w:ilvl="3" w:tplc="87346A48">
      <w:start w:val="1"/>
      <w:numFmt w:val="bullet"/>
      <w:lvlText w:val=""/>
      <w:lvlJc w:val="left"/>
      <w:pPr>
        <w:ind w:left="2880" w:hanging="360"/>
      </w:pPr>
      <w:rPr>
        <w:rFonts w:ascii="Symbol" w:hAnsi="Symbol" w:hint="default"/>
      </w:rPr>
    </w:lvl>
    <w:lvl w:ilvl="4" w:tplc="C360CEC0">
      <w:start w:val="1"/>
      <w:numFmt w:val="bullet"/>
      <w:lvlText w:val="o"/>
      <w:lvlJc w:val="left"/>
      <w:pPr>
        <w:ind w:left="3600" w:hanging="360"/>
      </w:pPr>
      <w:rPr>
        <w:rFonts w:ascii="Courier New" w:hAnsi="Courier New" w:hint="default"/>
      </w:rPr>
    </w:lvl>
    <w:lvl w:ilvl="5" w:tplc="4984BC56">
      <w:start w:val="1"/>
      <w:numFmt w:val="bullet"/>
      <w:lvlText w:val=""/>
      <w:lvlJc w:val="left"/>
      <w:pPr>
        <w:ind w:left="4320" w:hanging="360"/>
      </w:pPr>
      <w:rPr>
        <w:rFonts w:ascii="Wingdings" w:hAnsi="Wingdings" w:hint="default"/>
      </w:rPr>
    </w:lvl>
    <w:lvl w:ilvl="6" w:tplc="C58AC7CA">
      <w:start w:val="1"/>
      <w:numFmt w:val="bullet"/>
      <w:lvlText w:val=""/>
      <w:lvlJc w:val="left"/>
      <w:pPr>
        <w:ind w:left="5040" w:hanging="360"/>
      </w:pPr>
      <w:rPr>
        <w:rFonts w:ascii="Symbol" w:hAnsi="Symbol" w:hint="default"/>
      </w:rPr>
    </w:lvl>
    <w:lvl w:ilvl="7" w:tplc="2C2885A4">
      <w:start w:val="1"/>
      <w:numFmt w:val="bullet"/>
      <w:lvlText w:val="o"/>
      <w:lvlJc w:val="left"/>
      <w:pPr>
        <w:ind w:left="5760" w:hanging="360"/>
      </w:pPr>
      <w:rPr>
        <w:rFonts w:ascii="Courier New" w:hAnsi="Courier New" w:hint="default"/>
      </w:rPr>
    </w:lvl>
    <w:lvl w:ilvl="8" w:tplc="6EDED3A0">
      <w:start w:val="1"/>
      <w:numFmt w:val="bullet"/>
      <w:lvlText w:val=""/>
      <w:lvlJc w:val="left"/>
      <w:pPr>
        <w:ind w:left="6480" w:hanging="360"/>
      </w:pPr>
      <w:rPr>
        <w:rFonts w:ascii="Wingdings" w:hAnsi="Wingdings" w:hint="default"/>
      </w:rPr>
    </w:lvl>
  </w:abstractNum>
  <w:abstractNum w:abstractNumId="6" w15:restartNumberingAfterBreak="0">
    <w:nsid w:val="5CA3EDEB"/>
    <w:multiLevelType w:val="hybridMultilevel"/>
    <w:tmpl w:val="58A64D14"/>
    <w:lvl w:ilvl="0" w:tplc="8E6C52FC">
      <w:start w:val="1"/>
      <w:numFmt w:val="bullet"/>
      <w:lvlText w:val=""/>
      <w:lvlJc w:val="left"/>
      <w:pPr>
        <w:ind w:left="720" w:hanging="360"/>
      </w:pPr>
      <w:rPr>
        <w:rFonts w:ascii="Symbol" w:hAnsi="Symbol" w:hint="default"/>
      </w:rPr>
    </w:lvl>
    <w:lvl w:ilvl="1" w:tplc="25BE608A">
      <w:start w:val="1"/>
      <w:numFmt w:val="bullet"/>
      <w:lvlText w:val="o"/>
      <w:lvlJc w:val="left"/>
      <w:pPr>
        <w:ind w:left="1440" w:hanging="360"/>
      </w:pPr>
      <w:rPr>
        <w:rFonts w:ascii="Courier New" w:hAnsi="Courier New" w:hint="default"/>
      </w:rPr>
    </w:lvl>
    <w:lvl w:ilvl="2" w:tplc="160E9EF4">
      <w:start w:val="1"/>
      <w:numFmt w:val="bullet"/>
      <w:lvlText w:val=""/>
      <w:lvlJc w:val="left"/>
      <w:pPr>
        <w:ind w:left="2160" w:hanging="360"/>
      </w:pPr>
      <w:rPr>
        <w:rFonts w:ascii="Wingdings" w:hAnsi="Wingdings" w:hint="default"/>
      </w:rPr>
    </w:lvl>
    <w:lvl w:ilvl="3" w:tplc="607CFC38">
      <w:start w:val="1"/>
      <w:numFmt w:val="bullet"/>
      <w:lvlText w:val=""/>
      <w:lvlJc w:val="left"/>
      <w:pPr>
        <w:ind w:left="2880" w:hanging="360"/>
      </w:pPr>
      <w:rPr>
        <w:rFonts w:ascii="Symbol" w:hAnsi="Symbol" w:hint="default"/>
      </w:rPr>
    </w:lvl>
    <w:lvl w:ilvl="4" w:tplc="9B36E630">
      <w:start w:val="1"/>
      <w:numFmt w:val="bullet"/>
      <w:lvlText w:val="o"/>
      <w:lvlJc w:val="left"/>
      <w:pPr>
        <w:ind w:left="3600" w:hanging="360"/>
      </w:pPr>
      <w:rPr>
        <w:rFonts w:ascii="Courier New" w:hAnsi="Courier New" w:hint="default"/>
      </w:rPr>
    </w:lvl>
    <w:lvl w:ilvl="5" w:tplc="410E318C">
      <w:start w:val="1"/>
      <w:numFmt w:val="bullet"/>
      <w:lvlText w:val=""/>
      <w:lvlJc w:val="left"/>
      <w:pPr>
        <w:ind w:left="4320" w:hanging="360"/>
      </w:pPr>
      <w:rPr>
        <w:rFonts w:ascii="Wingdings" w:hAnsi="Wingdings" w:hint="default"/>
      </w:rPr>
    </w:lvl>
    <w:lvl w:ilvl="6" w:tplc="2102A16E">
      <w:start w:val="1"/>
      <w:numFmt w:val="bullet"/>
      <w:lvlText w:val=""/>
      <w:lvlJc w:val="left"/>
      <w:pPr>
        <w:ind w:left="5040" w:hanging="360"/>
      </w:pPr>
      <w:rPr>
        <w:rFonts w:ascii="Symbol" w:hAnsi="Symbol" w:hint="default"/>
      </w:rPr>
    </w:lvl>
    <w:lvl w:ilvl="7" w:tplc="623AB754">
      <w:start w:val="1"/>
      <w:numFmt w:val="bullet"/>
      <w:lvlText w:val="o"/>
      <w:lvlJc w:val="left"/>
      <w:pPr>
        <w:ind w:left="5760" w:hanging="360"/>
      </w:pPr>
      <w:rPr>
        <w:rFonts w:ascii="Courier New" w:hAnsi="Courier New" w:hint="default"/>
      </w:rPr>
    </w:lvl>
    <w:lvl w:ilvl="8" w:tplc="A5AEA580">
      <w:start w:val="1"/>
      <w:numFmt w:val="bullet"/>
      <w:lvlText w:val=""/>
      <w:lvlJc w:val="left"/>
      <w:pPr>
        <w:ind w:left="6480" w:hanging="360"/>
      </w:pPr>
      <w:rPr>
        <w:rFonts w:ascii="Wingdings" w:hAnsi="Wingdings" w:hint="default"/>
      </w:rPr>
    </w:lvl>
  </w:abstractNum>
  <w:abstractNum w:abstractNumId="7" w15:restartNumberingAfterBreak="0">
    <w:nsid w:val="5D2E28FD"/>
    <w:multiLevelType w:val="hybridMultilevel"/>
    <w:tmpl w:val="F1C6C4C8"/>
    <w:lvl w:ilvl="0" w:tplc="CCCC36E6">
      <w:start w:val="1"/>
      <w:numFmt w:val="bullet"/>
      <w:lvlText w:val=""/>
      <w:lvlJc w:val="left"/>
      <w:pPr>
        <w:ind w:left="720" w:hanging="360"/>
      </w:pPr>
      <w:rPr>
        <w:rFonts w:ascii="Symbol" w:hAnsi="Symbol" w:hint="default"/>
      </w:rPr>
    </w:lvl>
    <w:lvl w:ilvl="1" w:tplc="64129CDA">
      <w:start w:val="1"/>
      <w:numFmt w:val="bullet"/>
      <w:lvlText w:val="o"/>
      <w:lvlJc w:val="left"/>
      <w:pPr>
        <w:ind w:left="1440" w:hanging="360"/>
      </w:pPr>
      <w:rPr>
        <w:rFonts w:ascii="Courier New" w:hAnsi="Courier New" w:hint="default"/>
      </w:rPr>
    </w:lvl>
    <w:lvl w:ilvl="2" w:tplc="D72E915E">
      <w:start w:val="1"/>
      <w:numFmt w:val="bullet"/>
      <w:lvlText w:val=""/>
      <w:lvlJc w:val="left"/>
      <w:pPr>
        <w:ind w:left="2160" w:hanging="360"/>
      </w:pPr>
      <w:rPr>
        <w:rFonts w:ascii="Wingdings" w:hAnsi="Wingdings" w:hint="default"/>
      </w:rPr>
    </w:lvl>
    <w:lvl w:ilvl="3" w:tplc="37D0A116">
      <w:start w:val="1"/>
      <w:numFmt w:val="bullet"/>
      <w:lvlText w:val=""/>
      <w:lvlJc w:val="left"/>
      <w:pPr>
        <w:ind w:left="2880" w:hanging="360"/>
      </w:pPr>
      <w:rPr>
        <w:rFonts w:ascii="Symbol" w:hAnsi="Symbol" w:hint="default"/>
      </w:rPr>
    </w:lvl>
    <w:lvl w:ilvl="4" w:tplc="3CB44EB8">
      <w:start w:val="1"/>
      <w:numFmt w:val="bullet"/>
      <w:lvlText w:val="o"/>
      <w:lvlJc w:val="left"/>
      <w:pPr>
        <w:ind w:left="3600" w:hanging="360"/>
      </w:pPr>
      <w:rPr>
        <w:rFonts w:ascii="Courier New" w:hAnsi="Courier New" w:hint="default"/>
      </w:rPr>
    </w:lvl>
    <w:lvl w:ilvl="5" w:tplc="5BAA12C6">
      <w:start w:val="1"/>
      <w:numFmt w:val="bullet"/>
      <w:lvlText w:val=""/>
      <w:lvlJc w:val="left"/>
      <w:pPr>
        <w:ind w:left="4320" w:hanging="360"/>
      </w:pPr>
      <w:rPr>
        <w:rFonts w:ascii="Wingdings" w:hAnsi="Wingdings" w:hint="default"/>
      </w:rPr>
    </w:lvl>
    <w:lvl w:ilvl="6" w:tplc="823EF9B6">
      <w:start w:val="1"/>
      <w:numFmt w:val="bullet"/>
      <w:lvlText w:val=""/>
      <w:lvlJc w:val="left"/>
      <w:pPr>
        <w:ind w:left="5040" w:hanging="360"/>
      </w:pPr>
      <w:rPr>
        <w:rFonts w:ascii="Symbol" w:hAnsi="Symbol" w:hint="default"/>
      </w:rPr>
    </w:lvl>
    <w:lvl w:ilvl="7" w:tplc="85F6C2CC">
      <w:start w:val="1"/>
      <w:numFmt w:val="bullet"/>
      <w:lvlText w:val="o"/>
      <w:lvlJc w:val="left"/>
      <w:pPr>
        <w:ind w:left="5760" w:hanging="360"/>
      </w:pPr>
      <w:rPr>
        <w:rFonts w:ascii="Courier New" w:hAnsi="Courier New" w:hint="default"/>
      </w:rPr>
    </w:lvl>
    <w:lvl w:ilvl="8" w:tplc="7D00CEE2">
      <w:start w:val="1"/>
      <w:numFmt w:val="bullet"/>
      <w:lvlText w:val=""/>
      <w:lvlJc w:val="left"/>
      <w:pPr>
        <w:ind w:left="6480" w:hanging="360"/>
      </w:pPr>
      <w:rPr>
        <w:rFonts w:ascii="Wingdings" w:hAnsi="Wingdings" w:hint="default"/>
      </w:rPr>
    </w:lvl>
  </w:abstractNum>
  <w:abstractNum w:abstractNumId="8" w15:restartNumberingAfterBreak="0">
    <w:nsid w:val="62FEC879"/>
    <w:multiLevelType w:val="hybridMultilevel"/>
    <w:tmpl w:val="245EAF72"/>
    <w:lvl w:ilvl="0" w:tplc="5FC68BCE">
      <w:start w:val="1"/>
      <w:numFmt w:val="bullet"/>
      <w:lvlText w:val=""/>
      <w:lvlJc w:val="left"/>
      <w:pPr>
        <w:ind w:left="720" w:hanging="360"/>
      </w:pPr>
      <w:rPr>
        <w:rFonts w:ascii="Symbol" w:hAnsi="Symbol" w:hint="default"/>
      </w:rPr>
    </w:lvl>
    <w:lvl w:ilvl="1" w:tplc="E26AB786">
      <w:start w:val="1"/>
      <w:numFmt w:val="bullet"/>
      <w:lvlText w:val="o"/>
      <w:lvlJc w:val="left"/>
      <w:pPr>
        <w:ind w:left="1440" w:hanging="360"/>
      </w:pPr>
      <w:rPr>
        <w:rFonts w:ascii="Courier New" w:hAnsi="Courier New" w:hint="default"/>
      </w:rPr>
    </w:lvl>
    <w:lvl w:ilvl="2" w:tplc="426E082E">
      <w:start w:val="1"/>
      <w:numFmt w:val="bullet"/>
      <w:lvlText w:val=""/>
      <w:lvlJc w:val="left"/>
      <w:pPr>
        <w:ind w:left="2160" w:hanging="360"/>
      </w:pPr>
      <w:rPr>
        <w:rFonts w:ascii="Wingdings" w:hAnsi="Wingdings" w:hint="default"/>
      </w:rPr>
    </w:lvl>
    <w:lvl w:ilvl="3" w:tplc="2BE2CE4A">
      <w:start w:val="1"/>
      <w:numFmt w:val="bullet"/>
      <w:lvlText w:val=""/>
      <w:lvlJc w:val="left"/>
      <w:pPr>
        <w:ind w:left="2880" w:hanging="360"/>
      </w:pPr>
      <w:rPr>
        <w:rFonts w:ascii="Symbol" w:hAnsi="Symbol" w:hint="default"/>
      </w:rPr>
    </w:lvl>
    <w:lvl w:ilvl="4" w:tplc="91EC77CC">
      <w:start w:val="1"/>
      <w:numFmt w:val="bullet"/>
      <w:lvlText w:val="o"/>
      <w:lvlJc w:val="left"/>
      <w:pPr>
        <w:ind w:left="3600" w:hanging="360"/>
      </w:pPr>
      <w:rPr>
        <w:rFonts w:ascii="Courier New" w:hAnsi="Courier New" w:hint="default"/>
      </w:rPr>
    </w:lvl>
    <w:lvl w:ilvl="5" w:tplc="4F62DD88">
      <w:start w:val="1"/>
      <w:numFmt w:val="bullet"/>
      <w:lvlText w:val=""/>
      <w:lvlJc w:val="left"/>
      <w:pPr>
        <w:ind w:left="4320" w:hanging="360"/>
      </w:pPr>
      <w:rPr>
        <w:rFonts w:ascii="Wingdings" w:hAnsi="Wingdings" w:hint="default"/>
      </w:rPr>
    </w:lvl>
    <w:lvl w:ilvl="6" w:tplc="35AC7B34">
      <w:start w:val="1"/>
      <w:numFmt w:val="bullet"/>
      <w:lvlText w:val=""/>
      <w:lvlJc w:val="left"/>
      <w:pPr>
        <w:ind w:left="5040" w:hanging="360"/>
      </w:pPr>
      <w:rPr>
        <w:rFonts w:ascii="Symbol" w:hAnsi="Symbol" w:hint="default"/>
      </w:rPr>
    </w:lvl>
    <w:lvl w:ilvl="7" w:tplc="1B8C4E14">
      <w:start w:val="1"/>
      <w:numFmt w:val="bullet"/>
      <w:lvlText w:val="o"/>
      <w:lvlJc w:val="left"/>
      <w:pPr>
        <w:ind w:left="5760" w:hanging="360"/>
      </w:pPr>
      <w:rPr>
        <w:rFonts w:ascii="Courier New" w:hAnsi="Courier New" w:hint="default"/>
      </w:rPr>
    </w:lvl>
    <w:lvl w:ilvl="8" w:tplc="AE1E3FB0">
      <w:start w:val="1"/>
      <w:numFmt w:val="bullet"/>
      <w:lvlText w:val=""/>
      <w:lvlJc w:val="left"/>
      <w:pPr>
        <w:ind w:left="6480" w:hanging="360"/>
      </w:pPr>
      <w:rPr>
        <w:rFonts w:ascii="Wingdings" w:hAnsi="Wingdings" w:hint="default"/>
      </w:rPr>
    </w:lvl>
  </w:abstractNum>
  <w:num w:numId="1" w16cid:durableId="1585458501">
    <w:abstractNumId w:val="0"/>
  </w:num>
  <w:num w:numId="2" w16cid:durableId="1653362916">
    <w:abstractNumId w:val="6"/>
  </w:num>
  <w:num w:numId="3" w16cid:durableId="359862179">
    <w:abstractNumId w:val="3"/>
  </w:num>
  <w:num w:numId="4" w16cid:durableId="1754930411">
    <w:abstractNumId w:val="8"/>
  </w:num>
  <w:num w:numId="5" w16cid:durableId="1979995104">
    <w:abstractNumId w:val="5"/>
  </w:num>
  <w:num w:numId="6" w16cid:durableId="28923120">
    <w:abstractNumId w:val="1"/>
  </w:num>
  <w:num w:numId="7" w16cid:durableId="1569461849">
    <w:abstractNumId w:val="4"/>
  </w:num>
  <w:num w:numId="8" w16cid:durableId="2072071584">
    <w:abstractNumId w:val="7"/>
  </w:num>
  <w:num w:numId="9" w16cid:durableId="35280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3BD8E0"/>
    <w:rsid w:val="00366D39"/>
    <w:rsid w:val="00514564"/>
    <w:rsid w:val="00640C5F"/>
    <w:rsid w:val="00A12CD9"/>
    <w:rsid w:val="00BA5F46"/>
    <w:rsid w:val="00D036B1"/>
    <w:rsid w:val="00DB5C81"/>
    <w:rsid w:val="069E187B"/>
    <w:rsid w:val="11A3433E"/>
    <w:rsid w:val="223E5302"/>
    <w:rsid w:val="3574ED16"/>
    <w:rsid w:val="5E3BD8E0"/>
    <w:rsid w:val="5EE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A566D"/>
  <w15:chartTrackingRefBased/>
  <w15:docId w15:val="{A35A964D-2C98-443C-B4C8-92C882A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50BB7-5233-449B-A8B6-2B8C2C9F14A1}">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3938F4FF-754B-49A6-A650-025C7828FAF7}">
  <ds:schemaRefs>
    <ds:schemaRef ds:uri="http://schemas.microsoft.com/sharepoint/v3/contenttype/forms"/>
  </ds:schemaRefs>
</ds:datastoreItem>
</file>

<file path=customXml/itemProps3.xml><?xml version="1.0" encoding="utf-8"?>
<ds:datastoreItem xmlns:ds="http://schemas.openxmlformats.org/officeDocument/2006/customXml" ds:itemID="{80BA26AA-37E5-4706-B39B-DED72867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4430</Characters>
  <Application>Microsoft Office Word</Application>
  <DocSecurity>0</DocSecurity>
  <Lines>79</Lines>
  <Paragraphs>27</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2024-06-11T08:35:00Z</dcterms:created>
  <dcterms:modified xsi:type="dcterms:W3CDTF">2024-06-11T08:35:00Z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MediaServiceImageTags">
    <vt:lpwstr/>
  </property>
  <property fmtid="{D5CDD505-2E9C-101B-9397-08002B2CF9AE}" pid="4" name="GrammarlyDocumentId">
    <vt:lpwstr>1e784a47e93c424a22c4207de2629044c43b9a26e94e1407dd79d7a5108b149e</vt:lpwstr>
  </property>
</Properties>
</file>